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93" w:type="dxa"/>
        <w:tblInd w:w="-31" w:type="dxa"/>
        <w:tblCellMar>
          <w:top w:w="11" w:type="dxa"/>
          <w:left w:w="32" w:type="dxa"/>
          <w:bottom w:w="0" w:type="dxa"/>
          <w:right w:w="31" w:type="dxa"/>
        </w:tblCellMar>
        <w:tblLook w:val="04A0" w:firstRow="1" w:lastRow="0" w:firstColumn="1" w:lastColumn="0" w:noHBand="0" w:noVBand="1"/>
      </w:tblPr>
      <w:tblGrid>
        <w:gridCol w:w="9093"/>
      </w:tblGrid>
      <w:tr w:rsidR="002D1315">
        <w:trPr>
          <w:trHeight w:val="278"/>
        </w:trPr>
        <w:tc>
          <w:tcPr>
            <w:tcW w:w="9093" w:type="dxa"/>
            <w:tcBorders>
              <w:top w:val="single" w:sz="2" w:space="0" w:color="E3E3E3"/>
              <w:left w:val="single" w:sz="2" w:space="0" w:color="E3E3E3"/>
              <w:bottom w:val="nil"/>
              <w:right w:val="single" w:sz="2" w:space="0" w:color="E3E3E3"/>
            </w:tcBorders>
          </w:tcPr>
          <w:p w:rsidR="002D1315" w:rsidRDefault="00000000">
            <w:pPr>
              <w:spacing w:after="0"/>
              <w:ind w:left="0" w:firstLine="0"/>
            </w:pPr>
            <w:r>
              <w:rPr>
                <w:rFonts w:ascii="Times New Roman" w:eastAsia="Times New Roman" w:hAnsi="Times New Roman" w:cs="Times New Roman"/>
                <w:b/>
                <w:sz w:val="24"/>
              </w:rPr>
              <w:t xml:space="preserve">Albie Andreea Maria </w:t>
            </w:r>
          </w:p>
        </w:tc>
      </w:tr>
      <w:tr w:rsidR="002D1315">
        <w:trPr>
          <w:trHeight w:val="2706"/>
        </w:trPr>
        <w:tc>
          <w:tcPr>
            <w:tcW w:w="9093" w:type="dxa"/>
            <w:tcBorders>
              <w:top w:val="nil"/>
              <w:left w:val="single" w:sz="2" w:space="0" w:color="E3E3E3"/>
              <w:bottom w:val="nil"/>
              <w:right w:val="single" w:sz="2" w:space="0" w:color="E3E3E3"/>
            </w:tcBorders>
            <w:shd w:val="clear" w:color="auto" w:fill="FFFFFF"/>
          </w:tcPr>
          <w:p w:rsidR="002D1315" w:rsidRDefault="00000000">
            <w:pPr>
              <w:spacing w:after="0"/>
              <w:ind w:left="0" w:firstLine="0"/>
            </w:pPr>
            <w:r>
              <w:rPr>
                <w:rFonts w:ascii="Times New Roman" w:eastAsia="Times New Roman" w:hAnsi="Times New Roman" w:cs="Times New Roman"/>
                <w:b/>
                <w:sz w:val="24"/>
              </w:rPr>
              <w:t xml:space="preserve">Liceul Teoretic “Traian” </w:t>
            </w:r>
          </w:p>
          <w:p w:rsidR="002D1315" w:rsidRDefault="00000000">
            <w:pPr>
              <w:spacing w:after="0"/>
              <w:ind w:left="0" w:firstLine="0"/>
            </w:pPr>
            <w:r>
              <w:rPr>
                <w:rFonts w:ascii="Times New Roman" w:eastAsia="Times New Roman" w:hAnsi="Times New Roman" w:cs="Times New Roman"/>
                <w:b/>
                <w:sz w:val="24"/>
              </w:rPr>
              <w:t xml:space="preserve"> </w:t>
            </w:r>
          </w:p>
          <w:p w:rsidR="002D1315" w:rsidRDefault="00000000">
            <w:pPr>
              <w:spacing w:after="30"/>
              <w:ind w:left="0" w:firstLine="0"/>
            </w:pPr>
            <w:r>
              <w:rPr>
                <w:b/>
              </w:rPr>
              <w:t xml:space="preserve"> </w:t>
            </w:r>
          </w:p>
          <w:p w:rsidR="002D1315" w:rsidRDefault="00000000">
            <w:pPr>
              <w:spacing w:after="34"/>
              <w:ind w:left="0" w:right="3" w:firstLine="0"/>
              <w:jc w:val="center"/>
            </w:pPr>
            <w:r>
              <w:rPr>
                <w:rFonts w:ascii="Times New Roman" w:eastAsia="Times New Roman" w:hAnsi="Times New Roman" w:cs="Times New Roman"/>
                <w:b/>
                <w:sz w:val="28"/>
              </w:rPr>
              <w:t>COMBATING VIOL</w:t>
            </w:r>
            <w:r w:rsidR="000E1F61">
              <w:rPr>
                <w:rFonts w:ascii="Times New Roman" w:eastAsia="Times New Roman" w:hAnsi="Times New Roman" w:cs="Times New Roman"/>
                <w:b/>
                <w:sz w:val="28"/>
              </w:rPr>
              <w:t>E</w:t>
            </w:r>
            <w:r>
              <w:rPr>
                <w:rFonts w:ascii="Times New Roman" w:eastAsia="Times New Roman" w:hAnsi="Times New Roman" w:cs="Times New Roman"/>
                <w:b/>
                <w:sz w:val="28"/>
              </w:rPr>
              <w:t>NCE: A MULTI-FAC</w:t>
            </w:r>
            <w:r w:rsidR="000E1F61">
              <w:rPr>
                <w:rFonts w:ascii="Times New Roman" w:eastAsia="Times New Roman" w:hAnsi="Times New Roman" w:cs="Times New Roman"/>
                <w:b/>
                <w:sz w:val="28"/>
              </w:rPr>
              <w:t>E</w:t>
            </w:r>
            <w:r>
              <w:rPr>
                <w:rFonts w:ascii="Times New Roman" w:eastAsia="Times New Roman" w:hAnsi="Times New Roman" w:cs="Times New Roman"/>
                <w:b/>
                <w:sz w:val="28"/>
              </w:rPr>
              <w:t xml:space="preserve">TED APPROACH TO </w:t>
            </w:r>
          </w:p>
          <w:p w:rsidR="002D1315" w:rsidRDefault="00000000">
            <w:pPr>
              <w:spacing w:after="0"/>
              <w:ind w:left="0" w:right="6" w:firstLine="0"/>
              <w:jc w:val="center"/>
            </w:pPr>
            <w:r>
              <w:rPr>
                <w:rFonts w:ascii="Times New Roman" w:eastAsia="Times New Roman" w:hAnsi="Times New Roman" w:cs="Times New Roman"/>
                <w:b/>
                <w:sz w:val="28"/>
              </w:rPr>
              <w:t>BUILDING PEACEFUL SOCIETIES</w:t>
            </w:r>
            <w:r>
              <w:rPr>
                <w:rFonts w:ascii="Times New Roman" w:eastAsia="Times New Roman" w:hAnsi="Times New Roman" w:cs="Times New Roman"/>
                <w:sz w:val="28"/>
              </w:rPr>
              <w:t xml:space="preserve"> </w:t>
            </w:r>
          </w:p>
          <w:p w:rsidR="002D1315" w:rsidRDefault="00000000">
            <w:pPr>
              <w:spacing w:after="0"/>
              <w:ind w:left="0" w:firstLine="0"/>
            </w:pPr>
            <w:r>
              <w:rPr>
                <w:rFonts w:ascii="Times New Roman" w:eastAsia="Times New Roman" w:hAnsi="Times New Roman" w:cs="Times New Roman"/>
                <w:sz w:val="24"/>
              </w:rPr>
              <w:t xml:space="preserve">Violence is a pervasive issue that plagues societies worldwide, undermining stability, prosperity, and basic human rights. Whether it manifests as domestic abuse, gang warfare, or international conflict, its impact reverberates across generations, perpetuating cycles of </w:t>
            </w:r>
          </w:p>
        </w:tc>
      </w:tr>
      <w:tr w:rsidR="002D1315">
        <w:trPr>
          <w:trHeight w:val="415"/>
        </w:trPr>
        <w:tc>
          <w:tcPr>
            <w:tcW w:w="9093" w:type="dxa"/>
            <w:tcBorders>
              <w:top w:val="nil"/>
              <w:left w:val="single" w:sz="2" w:space="0" w:color="E3E3E3"/>
              <w:bottom w:val="nil"/>
              <w:right w:val="single" w:sz="2" w:space="0" w:color="E3E3E3"/>
            </w:tcBorders>
          </w:tcPr>
          <w:p w:rsidR="002D1315" w:rsidRDefault="00000000">
            <w:pPr>
              <w:spacing w:after="0"/>
              <w:ind w:left="0" w:firstLine="0"/>
            </w:pPr>
            <w:r>
              <w:rPr>
                <w:rFonts w:ascii="Times New Roman" w:eastAsia="Times New Roman" w:hAnsi="Times New Roman" w:cs="Times New Roman"/>
                <w:sz w:val="24"/>
              </w:rPr>
              <w:t xml:space="preserve">trauma and suffering. However, while violence may seem insurmountable, proactive </w:t>
            </w:r>
          </w:p>
        </w:tc>
      </w:tr>
      <w:tr w:rsidR="002D1315">
        <w:trPr>
          <w:trHeight w:val="4141"/>
        </w:trPr>
        <w:tc>
          <w:tcPr>
            <w:tcW w:w="9093" w:type="dxa"/>
            <w:tcBorders>
              <w:top w:val="nil"/>
              <w:left w:val="single" w:sz="2" w:space="0" w:color="E3E3E3"/>
              <w:bottom w:val="nil"/>
              <w:right w:val="single" w:sz="2" w:space="0" w:color="E3E3E3"/>
            </w:tcBorders>
            <w:shd w:val="clear" w:color="auto" w:fill="FFFFFF"/>
          </w:tcPr>
          <w:p w:rsidR="002D1315" w:rsidRDefault="00000000">
            <w:pPr>
              <w:spacing w:after="0"/>
              <w:ind w:left="0" w:right="4" w:firstLine="0"/>
            </w:pPr>
            <w:r>
              <w:rPr>
                <w:rFonts w:ascii="Times New Roman" w:eastAsia="Times New Roman" w:hAnsi="Times New Roman" w:cs="Times New Roman"/>
                <w:sz w:val="24"/>
              </w:rPr>
              <w:t>measures can effectively combat it. By addressing root causes, promoting education, fostering empathy, and implementing comprehensive policies, societies can pave the way towards a more peaceful future.</w:t>
            </w:r>
            <w:r>
              <w:rPr>
                <w:rFonts w:ascii="Times New Roman" w:eastAsia="Times New Roman" w:hAnsi="Times New Roman" w:cs="Times New Roman"/>
              </w:rPr>
              <w:t xml:space="preserve"> </w:t>
            </w:r>
            <w:r>
              <w:rPr>
                <w:rFonts w:ascii="Times New Roman" w:eastAsia="Times New Roman" w:hAnsi="Times New Roman" w:cs="Times New Roman"/>
                <w:sz w:val="24"/>
              </w:rPr>
              <w:t>Understanding the root causes of violence is crucial for effective intervention. Socioeconomic disparities, inequality, discrimination, and lack of access to basic resources contribute to feelings of frustration, hopelessness, and desperation, which can escalate into violent behavior. Addressing these structural issues through equitable economic policies, social welfare programs, and inclusive governance can mitigate the conditions that breed violence.</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Education is a powerful tool for combating violence at its core. By promoting critical thinking, empathy, and conflict resolution skills from an early age, education can instill values of tolerance and respect for diversity. Comprehensive sex </w:t>
            </w:r>
          </w:p>
        </w:tc>
      </w:tr>
      <w:tr w:rsidR="002D1315">
        <w:trPr>
          <w:trHeight w:val="416"/>
        </w:trPr>
        <w:tc>
          <w:tcPr>
            <w:tcW w:w="9093" w:type="dxa"/>
            <w:tcBorders>
              <w:top w:val="nil"/>
              <w:left w:val="single" w:sz="2" w:space="0" w:color="E3E3E3"/>
              <w:bottom w:val="nil"/>
              <w:right w:val="single" w:sz="2" w:space="0" w:color="E3E3E3"/>
            </w:tcBorders>
          </w:tcPr>
          <w:p w:rsidR="002D1315" w:rsidRDefault="00000000">
            <w:pPr>
              <w:spacing w:after="0"/>
              <w:ind w:left="0" w:firstLine="0"/>
            </w:pPr>
            <w:r>
              <w:rPr>
                <w:rFonts w:ascii="Times New Roman" w:eastAsia="Times New Roman" w:hAnsi="Times New Roman" w:cs="Times New Roman"/>
                <w:sz w:val="24"/>
              </w:rPr>
              <w:t xml:space="preserve">education can prevent gender-based violence, while teaching history through the lens of </w:t>
            </w:r>
          </w:p>
        </w:tc>
      </w:tr>
      <w:tr w:rsidR="002D1315">
        <w:trPr>
          <w:trHeight w:val="3310"/>
        </w:trPr>
        <w:tc>
          <w:tcPr>
            <w:tcW w:w="9093" w:type="dxa"/>
            <w:tcBorders>
              <w:top w:val="nil"/>
              <w:left w:val="single" w:sz="2" w:space="0" w:color="E3E3E3"/>
              <w:bottom w:val="nil"/>
              <w:right w:val="single" w:sz="2" w:space="0" w:color="E3E3E3"/>
            </w:tcBorders>
            <w:shd w:val="clear" w:color="auto" w:fill="FFFFFF"/>
          </w:tcPr>
          <w:p w:rsidR="002D1315" w:rsidRDefault="00000000">
            <w:pPr>
              <w:spacing w:after="0"/>
              <w:ind w:left="0" w:firstLine="0"/>
            </w:pPr>
            <w:r>
              <w:rPr>
                <w:rFonts w:ascii="Times New Roman" w:eastAsia="Times New Roman" w:hAnsi="Times New Roman" w:cs="Times New Roman"/>
                <w:sz w:val="24"/>
              </w:rPr>
              <w:t>peacebuilding can break the cycle of intergenerational conflict. Moreover, investing in educational opportunities for marginalized communities can empower individuals to break free from cycles of poverty and violence.</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Empathy is essential for building connections and resolving conflicts peacefully. Promoting empathy involves creating spaces for dialogue and reconciliation, where individuals can share their experiences, perspectives, and grievances without fear of judgment or reprisal. Restorative justice practices, such as mediation and community reconciliation forums, can facilitate healing and repair relationships fractured by violence. Moreover, fostering empathy requires challenging stereotypes, prejudices, and </w:t>
            </w:r>
          </w:p>
        </w:tc>
      </w:tr>
      <w:tr w:rsidR="002D1315">
        <w:trPr>
          <w:trHeight w:val="416"/>
        </w:trPr>
        <w:tc>
          <w:tcPr>
            <w:tcW w:w="9093" w:type="dxa"/>
            <w:tcBorders>
              <w:top w:val="nil"/>
              <w:left w:val="single" w:sz="2" w:space="0" w:color="E3E3E3"/>
              <w:bottom w:val="nil"/>
              <w:right w:val="single" w:sz="2" w:space="0" w:color="E3E3E3"/>
            </w:tcBorders>
          </w:tcPr>
          <w:p w:rsidR="002D1315" w:rsidRDefault="00000000">
            <w:pPr>
              <w:spacing w:after="0"/>
              <w:ind w:left="0" w:firstLine="0"/>
            </w:pPr>
            <w:r>
              <w:rPr>
                <w:rFonts w:ascii="Times New Roman" w:eastAsia="Times New Roman" w:hAnsi="Times New Roman" w:cs="Times New Roman"/>
                <w:sz w:val="24"/>
              </w:rPr>
              <w:t>dehumanizing narratives that perpetuate cycles of violence and division.</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Effective violence </w:t>
            </w:r>
          </w:p>
        </w:tc>
      </w:tr>
      <w:tr w:rsidR="002D1315">
        <w:trPr>
          <w:trHeight w:val="1240"/>
        </w:trPr>
        <w:tc>
          <w:tcPr>
            <w:tcW w:w="9093" w:type="dxa"/>
            <w:tcBorders>
              <w:top w:val="nil"/>
              <w:left w:val="single" w:sz="2" w:space="0" w:color="E3E3E3"/>
              <w:bottom w:val="nil"/>
              <w:right w:val="single" w:sz="2" w:space="0" w:color="E3E3E3"/>
            </w:tcBorders>
            <w:shd w:val="clear" w:color="auto" w:fill="FFFFFF"/>
          </w:tcPr>
          <w:p w:rsidR="002D1315" w:rsidRDefault="00000000">
            <w:pPr>
              <w:spacing w:after="0"/>
              <w:ind w:left="0" w:firstLine="0"/>
            </w:pPr>
            <w:r>
              <w:rPr>
                <w:rFonts w:ascii="Times New Roman" w:eastAsia="Times New Roman" w:hAnsi="Times New Roman" w:cs="Times New Roman"/>
                <w:sz w:val="24"/>
              </w:rPr>
              <w:t xml:space="preserve">prevention requires a multi-sectoral approach that involves government, civil society, academia, and the private sector. Comprehensive policies should prioritize early intervention, addressing risk factors such as substance abuse, mental health disorders, and exposure to </w:t>
            </w:r>
          </w:p>
        </w:tc>
      </w:tr>
      <w:tr w:rsidR="002D1315">
        <w:trPr>
          <w:trHeight w:val="415"/>
        </w:trPr>
        <w:tc>
          <w:tcPr>
            <w:tcW w:w="9093" w:type="dxa"/>
            <w:tcBorders>
              <w:top w:val="nil"/>
              <w:left w:val="single" w:sz="2" w:space="0" w:color="E3E3E3"/>
              <w:bottom w:val="nil"/>
              <w:right w:val="single" w:sz="2" w:space="0" w:color="E3E3E3"/>
            </w:tcBorders>
          </w:tcPr>
          <w:p w:rsidR="002D1315" w:rsidRDefault="00000000">
            <w:pPr>
              <w:spacing w:after="0"/>
              <w:ind w:left="0" w:firstLine="0"/>
              <w:jc w:val="both"/>
            </w:pPr>
            <w:r>
              <w:rPr>
                <w:rFonts w:ascii="Times New Roman" w:eastAsia="Times New Roman" w:hAnsi="Times New Roman" w:cs="Times New Roman"/>
                <w:sz w:val="24"/>
              </w:rPr>
              <w:t xml:space="preserve">trauma. Investing in community-based programs that provide counseling, vocational training, </w:t>
            </w:r>
          </w:p>
        </w:tc>
      </w:tr>
      <w:tr w:rsidR="002D1315">
        <w:trPr>
          <w:trHeight w:val="415"/>
        </w:trPr>
        <w:tc>
          <w:tcPr>
            <w:tcW w:w="9093" w:type="dxa"/>
            <w:tcBorders>
              <w:top w:val="nil"/>
              <w:left w:val="single" w:sz="2" w:space="0" w:color="E3E3E3"/>
              <w:bottom w:val="nil"/>
              <w:right w:val="single" w:sz="2" w:space="0" w:color="E3E3E3"/>
            </w:tcBorders>
            <w:shd w:val="clear" w:color="auto" w:fill="FFFFFF"/>
          </w:tcPr>
          <w:p w:rsidR="002D1315" w:rsidRDefault="00000000">
            <w:pPr>
              <w:spacing w:after="0"/>
              <w:ind w:left="0" w:firstLine="0"/>
              <w:jc w:val="both"/>
            </w:pPr>
            <w:r>
              <w:rPr>
                <w:rFonts w:ascii="Times New Roman" w:eastAsia="Times New Roman" w:hAnsi="Times New Roman" w:cs="Times New Roman"/>
                <w:sz w:val="24"/>
              </w:rPr>
              <w:t>and alternative dispute resolution mechanisms can divert individuals away from violent paths.</w:t>
            </w:r>
          </w:p>
        </w:tc>
      </w:tr>
    </w:tbl>
    <w:p w:rsidR="002D1315" w:rsidRDefault="00000000">
      <w:pPr>
        <w:tabs>
          <w:tab w:val="center" w:pos="4513"/>
        </w:tabs>
        <w:ind w:left="-14" w:firstLine="0"/>
      </w:pPr>
      <w:r>
        <w:rPr>
          <w:rFonts w:cs="Calibri"/>
        </w:rPr>
        <w:lastRenderedPageBreak/>
        <w:t xml:space="preserve"> </w:t>
      </w:r>
      <w:r>
        <w:rPr>
          <w:rFonts w:cs="Calibri"/>
        </w:rPr>
        <w:tab/>
      </w:r>
      <w:r>
        <w:t>1</w:t>
      </w:r>
      <w:r>
        <w:rPr>
          <w:rFonts w:cs="Calibri"/>
        </w:rPr>
        <w:t xml:space="preserve"> </w:t>
      </w:r>
    </w:p>
    <w:tbl>
      <w:tblPr>
        <w:tblStyle w:val="TableGrid"/>
        <w:tblW w:w="9093" w:type="dxa"/>
        <w:tblInd w:w="-31" w:type="dxa"/>
        <w:tblCellMar>
          <w:top w:w="11" w:type="dxa"/>
          <w:left w:w="32" w:type="dxa"/>
          <w:bottom w:w="0" w:type="dxa"/>
          <w:right w:w="96" w:type="dxa"/>
        </w:tblCellMar>
        <w:tblLook w:val="04A0" w:firstRow="1" w:lastRow="0" w:firstColumn="1" w:lastColumn="0" w:noHBand="0" w:noVBand="1"/>
      </w:tblPr>
      <w:tblGrid>
        <w:gridCol w:w="9093"/>
      </w:tblGrid>
      <w:tr w:rsidR="002D1315">
        <w:trPr>
          <w:trHeight w:val="415"/>
        </w:trPr>
        <w:tc>
          <w:tcPr>
            <w:tcW w:w="9093" w:type="dxa"/>
            <w:tcBorders>
              <w:top w:val="nil"/>
              <w:left w:val="single" w:sz="2" w:space="0" w:color="E3E3E3"/>
              <w:bottom w:val="nil"/>
              <w:right w:val="single" w:sz="2" w:space="0" w:color="E3E3E3"/>
            </w:tcBorders>
          </w:tcPr>
          <w:p w:rsidR="002D1315" w:rsidRDefault="00000000">
            <w:pPr>
              <w:spacing w:after="0"/>
              <w:ind w:left="0" w:firstLine="0"/>
            </w:pPr>
            <w:r>
              <w:rPr>
                <w:rFonts w:ascii="Times New Roman" w:eastAsia="Times New Roman" w:hAnsi="Times New Roman" w:cs="Times New Roman"/>
                <w:sz w:val="24"/>
              </w:rPr>
              <w:t xml:space="preserve">Furthermore, implementing stricter gun control measures, regulating the media's portrayal of </w:t>
            </w:r>
          </w:p>
        </w:tc>
      </w:tr>
      <w:tr w:rsidR="002D1315">
        <w:trPr>
          <w:trHeight w:val="2486"/>
        </w:trPr>
        <w:tc>
          <w:tcPr>
            <w:tcW w:w="9093" w:type="dxa"/>
            <w:tcBorders>
              <w:top w:val="nil"/>
              <w:left w:val="single" w:sz="2" w:space="0" w:color="E3E3E3"/>
              <w:bottom w:val="nil"/>
              <w:right w:val="single" w:sz="2" w:space="0" w:color="E3E3E3"/>
            </w:tcBorders>
            <w:shd w:val="clear" w:color="auto" w:fill="FFFFFF"/>
          </w:tcPr>
          <w:p w:rsidR="002D1315" w:rsidRDefault="00000000">
            <w:pPr>
              <w:spacing w:after="0"/>
              <w:ind w:left="0" w:firstLine="0"/>
            </w:pPr>
            <w:r>
              <w:rPr>
                <w:rFonts w:ascii="Times New Roman" w:eastAsia="Times New Roman" w:hAnsi="Times New Roman" w:cs="Times New Roman"/>
                <w:sz w:val="24"/>
              </w:rPr>
              <w:t>violence, and dismantling criminal networks can reduce the availability and glamorization of violence in society.</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Combating violence demands a holistic approach that addresses root causes, promotes education, fosters empathy, and implements comprehensive policies. By tackling structural inequalities, empowering individuals through education, nurturing empathy and understanding, and enacting evidence-based policies, societies can create environments where violence becomes increasingly rare. While the journey towards a </w:t>
            </w:r>
          </w:p>
        </w:tc>
      </w:tr>
      <w:tr w:rsidR="002D1315">
        <w:trPr>
          <w:trHeight w:val="410"/>
        </w:trPr>
        <w:tc>
          <w:tcPr>
            <w:tcW w:w="9093" w:type="dxa"/>
            <w:tcBorders>
              <w:top w:val="nil"/>
              <w:left w:val="single" w:sz="2" w:space="0" w:color="E3E3E3"/>
              <w:bottom w:val="nil"/>
              <w:right w:val="single" w:sz="2" w:space="0" w:color="E3E3E3"/>
            </w:tcBorders>
          </w:tcPr>
          <w:p w:rsidR="002D1315" w:rsidRDefault="00000000">
            <w:pPr>
              <w:spacing w:after="0"/>
              <w:ind w:left="0" w:firstLine="0"/>
            </w:pPr>
            <w:r>
              <w:rPr>
                <w:rFonts w:ascii="Times New Roman" w:eastAsia="Times New Roman" w:hAnsi="Times New Roman" w:cs="Times New Roman"/>
                <w:sz w:val="24"/>
              </w:rPr>
              <w:t xml:space="preserve">violence-free world may be challenging, it is a journey worth undertaking for the sake of </w:t>
            </w:r>
          </w:p>
        </w:tc>
      </w:tr>
      <w:tr w:rsidR="002D1315">
        <w:trPr>
          <w:trHeight w:val="2187"/>
        </w:trPr>
        <w:tc>
          <w:tcPr>
            <w:tcW w:w="9093" w:type="dxa"/>
            <w:tcBorders>
              <w:top w:val="nil"/>
              <w:left w:val="single" w:sz="2" w:space="0" w:color="E3E3E3"/>
              <w:bottom w:val="single" w:sz="2" w:space="0" w:color="E3E3E3"/>
              <w:right w:val="single" w:sz="2" w:space="0" w:color="E3E3E3"/>
            </w:tcBorders>
            <w:shd w:val="clear" w:color="auto" w:fill="FFFFFF"/>
          </w:tcPr>
          <w:p w:rsidR="002D1315" w:rsidRDefault="00000000">
            <w:pPr>
              <w:spacing w:after="0" w:line="358" w:lineRule="auto"/>
              <w:ind w:left="0" w:firstLine="0"/>
            </w:pPr>
            <w:r>
              <w:rPr>
                <w:rFonts w:ascii="Times New Roman" w:eastAsia="Times New Roman" w:hAnsi="Times New Roman" w:cs="Times New Roman"/>
                <w:sz w:val="24"/>
              </w:rPr>
              <w:t>present and future generations. Through collective efforts and unwavering commitment, we can build societies where peace and prosperity prevail.</w:t>
            </w:r>
            <w:r>
              <w:rPr>
                <w:rFonts w:ascii="Times New Roman" w:eastAsia="Times New Roman" w:hAnsi="Times New Roman" w:cs="Times New Roman"/>
              </w:rPr>
              <w:t xml:space="preserve"> </w:t>
            </w:r>
          </w:p>
          <w:p w:rsidR="002D1315" w:rsidRDefault="00000000">
            <w:pPr>
              <w:spacing w:after="0"/>
              <w:ind w:left="0" w:firstLine="0"/>
            </w:pPr>
            <w:r>
              <w:rPr>
                <w:rFonts w:ascii="Times New Roman" w:eastAsia="Times New Roman" w:hAnsi="Times New Roman" w:cs="Times New Roman"/>
                <w:sz w:val="24"/>
              </w:rPr>
              <w:t xml:space="preserve"> </w:t>
            </w:r>
          </w:p>
          <w:p w:rsidR="002D1315" w:rsidRDefault="00000000">
            <w:pPr>
              <w:spacing w:after="47"/>
              <w:ind w:left="0" w:firstLine="0"/>
            </w:pPr>
            <w:r>
              <w:rPr>
                <w:rFonts w:ascii="Times New Roman" w:eastAsia="Times New Roman" w:hAnsi="Times New Roman" w:cs="Times New Roman"/>
              </w:rPr>
              <w:t xml:space="preserve">Albie Andreea Maria </w:t>
            </w:r>
          </w:p>
          <w:p w:rsidR="002D1315" w:rsidRDefault="00000000">
            <w:pPr>
              <w:spacing w:after="0" w:line="276" w:lineRule="auto"/>
              <w:ind w:left="0" w:right="365" w:firstLine="0"/>
            </w:pPr>
            <w:r>
              <w:rPr>
                <w:rFonts w:ascii="Times New Roman" w:eastAsia="Times New Roman" w:hAnsi="Times New Roman" w:cs="Times New Roman"/>
                <w:sz w:val="24"/>
              </w:rPr>
              <w:t xml:space="preserve">Combating Violence: A Multi-Faceted Approach to Building Peaceful Societies Bucuresti </w:t>
            </w:r>
          </w:p>
          <w:p w:rsidR="002D1315" w:rsidRDefault="00000000">
            <w:pPr>
              <w:spacing w:after="0"/>
              <w:ind w:left="0" w:firstLine="0"/>
            </w:pPr>
            <w:r>
              <w:rPr>
                <w:rFonts w:ascii="Times New Roman" w:eastAsia="Times New Roman" w:hAnsi="Times New Roman" w:cs="Times New Roman"/>
                <w:sz w:val="24"/>
              </w:rPr>
              <w:t xml:space="preserve">2024 </w:t>
            </w:r>
          </w:p>
        </w:tc>
      </w:tr>
    </w:tbl>
    <w:p w:rsidR="002D1315" w:rsidRDefault="00000000">
      <w:pPr>
        <w:tabs>
          <w:tab w:val="center" w:pos="4513"/>
        </w:tabs>
        <w:ind w:left="-14" w:firstLine="0"/>
      </w:pPr>
      <w:r>
        <w:rPr>
          <w:rFonts w:cs="Calibri"/>
        </w:rPr>
        <w:t xml:space="preserve"> </w:t>
      </w:r>
      <w:r>
        <w:rPr>
          <w:rFonts w:cs="Calibri"/>
        </w:rPr>
        <w:tab/>
      </w:r>
      <w:r>
        <w:t>2</w:t>
      </w:r>
      <w:r>
        <w:rPr>
          <w:rFonts w:cs="Calibri"/>
        </w:rPr>
        <w:t xml:space="preserve"> </w:t>
      </w:r>
    </w:p>
    <w:sectPr w:rsidR="002D1315">
      <w:pgSz w:w="11905"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tos Display">
    <w:panose1 w:val="020B00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15"/>
    <w:rsid w:val="000E1F61"/>
    <w:rsid w:val="002D1315"/>
    <w:rsid w:val="00A661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4:docId w14:val="795CA626"/>
  <w15:docId w15:val="{7ACEDB6C-041C-374A-897A-A517FA6E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ro-RO" w:eastAsia="ro-R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59" w:lineRule="auto"/>
      <w:ind w:left="11" w:hanging="10"/>
    </w:pPr>
    <w:rPr>
      <w:rFonts w:ascii="Calibri" w:eastAsia="Calibri" w:hAnsi="Calibri" w:cs="Times New Roman"/>
      <w:color w:val="000000"/>
      <w:sz w:val="22"/>
      <w:lang w:val="en" w:eastAsia="e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3199</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Alexandra Musat</dc:creator>
  <cp:keywords/>
  <cp:lastModifiedBy>Florina Chirvasiu</cp:lastModifiedBy>
  <cp:revision>3</cp:revision>
  <dcterms:created xsi:type="dcterms:W3CDTF">2024-04-18T13:56:00Z</dcterms:created>
  <dcterms:modified xsi:type="dcterms:W3CDTF">2024-04-18T13:56:00Z</dcterms:modified>
</cp:coreProperties>
</file>